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32"/>
          <w:szCs w:val="32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eastAsia="zh-CN"/>
        </w:rPr>
        <w:t>中国政法大学新媒体联盟理事单位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纪委办监察处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宣传部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离退休工作处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研究生院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学生处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国际合作与交流处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财务处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保卫处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资产管理处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后勤工作委员会办公室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发展规划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学科建设处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校工会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校团委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开放教育管理办公室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校友工作办公室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信息化建设办公室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国内合作处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图书馆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出版社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民商经济法学院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国际法学院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刑事司法学院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政治与公共管理学院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商学院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人文学院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法律硕士学院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外国语学院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继续教育学院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社会学院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中欧法学院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马克思主义学院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光明新闻传播学院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诉讼法学研究院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法治政府研究院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资本金融研究院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博士后管理办公室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康少女文字W5(P)">
    <w:panose1 w:val="040F0500000000000000"/>
    <w:charset w:val="86"/>
    <w:family w:val="auto"/>
    <w:pitch w:val="default"/>
    <w:sig w:usb0="00000001" w:usb1="08010000" w:usb2="00000012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古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启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35D2B"/>
    <w:rsid w:val="38975CED"/>
    <w:rsid w:val="56AA7675"/>
    <w:rsid w:val="5DB35D2B"/>
    <w:rsid w:val="65D96ADF"/>
    <w:rsid w:val="6B145E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